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19" w:rsidRPr="0031640D" w:rsidRDefault="00323F19" w:rsidP="0031640D">
      <w:pPr>
        <w:spacing w:line="300" w:lineRule="atLeast"/>
        <w:jc w:val="center"/>
        <w:rPr>
          <w:rFonts w:ascii="Arial" w:hAnsi="Arial" w:cs="Arial"/>
          <w:color w:val="1C283D"/>
        </w:rPr>
      </w:pPr>
      <w:r w:rsidRPr="0031640D">
        <w:rPr>
          <w:rFonts w:ascii="Arial" w:hAnsi="Arial" w:cs="Arial"/>
          <w:b/>
          <w:color w:val="1C283D"/>
        </w:rPr>
        <w:t>YAKALAMA, GÖZALTINA ALMA VE İFADE ALMA YÖNETMELİĞİ</w:t>
      </w:r>
      <w:r w:rsidR="008A12EC">
        <w:rPr>
          <w:rFonts w:ascii="Arial" w:hAnsi="Arial" w:cs="Arial"/>
          <w:b/>
          <w:color w:val="1C283D"/>
        </w:rPr>
        <w:t>NİN İFADE ALMAYLA İLGİLİ HÜKÜMLERİ</w:t>
      </w:r>
    </w:p>
    <w:p w:rsidR="00323F19" w:rsidRPr="0031640D" w:rsidRDefault="0031640D" w:rsidP="0031640D">
      <w:pPr>
        <w:pStyle w:val="GvdeMetniGirintisi"/>
        <w:spacing w:before="0" w:beforeAutospacing="0" w:after="0" w:afterAutospacing="0" w:line="240" w:lineRule="exact"/>
        <w:ind w:firstLine="709"/>
        <w:rPr>
          <w:rFonts w:ascii="Arial" w:hAnsi="Arial" w:cs="Arial"/>
          <w:b/>
          <w:color w:val="1C283D"/>
          <w:sz w:val="20"/>
          <w:szCs w:val="20"/>
        </w:rPr>
      </w:pPr>
      <w:r>
        <w:rPr>
          <w:rFonts w:ascii="Arial" w:hAnsi="Arial" w:cs="Arial"/>
          <w:color w:val="1C283D"/>
          <w:sz w:val="20"/>
          <w:szCs w:val="20"/>
        </w:rPr>
        <w:t xml:space="preserve">               (</w:t>
      </w:r>
      <w:r w:rsidR="00323F19" w:rsidRPr="0031640D">
        <w:rPr>
          <w:rFonts w:ascii="Arial" w:hAnsi="Arial" w:cs="Arial"/>
          <w:color w:val="1C283D"/>
          <w:sz w:val="20"/>
          <w:szCs w:val="20"/>
        </w:rPr>
        <w:t>Resmi Gazete Tarihi: 01.06.2005 Resmi Gazete Sayısı: 25832</w:t>
      </w:r>
      <w:r>
        <w:rPr>
          <w:rFonts w:ascii="Arial" w:hAnsi="Arial" w:cs="Arial"/>
          <w:color w:val="1C283D"/>
          <w:sz w:val="20"/>
          <w:szCs w:val="20"/>
        </w:rPr>
        <w:t>)</w:t>
      </w:r>
    </w:p>
    <w:p w:rsidR="0031640D" w:rsidRDefault="0031640D" w:rsidP="0031640D">
      <w:pPr>
        <w:pStyle w:val="GvdeMetniGirintisi"/>
        <w:spacing w:before="0" w:beforeAutospacing="0" w:after="0" w:afterAutospacing="0" w:line="240" w:lineRule="exact"/>
        <w:ind w:firstLine="709"/>
        <w:jc w:val="both"/>
        <w:rPr>
          <w:rFonts w:ascii="Arial" w:hAnsi="Arial" w:cs="Arial"/>
          <w:b/>
          <w:color w:val="1C283D"/>
        </w:rPr>
      </w:pPr>
    </w:p>
    <w:p w:rsidR="0031640D" w:rsidRPr="0031640D" w:rsidRDefault="0031640D" w:rsidP="0031640D">
      <w:pPr>
        <w:pStyle w:val="GvdeMetniGirintisi"/>
        <w:spacing w:before="0" w:beforeAutospacing="0" w:after="0" w:afterAutospacing="0" w:line="240" w:lineRule="exact"/>
        <w:ind w:firstLine="709"/>
        <w:jc w:val="both"/>
        <w:rPr>
          <w:rFonts w:ascii="Arial" w:hAnsi="Arial" w:cs="Arial"/>
          <w:b/>
          <w:color w:val="1C283D"/>
        </w:rPr>
      </w:pPr>
      <w:r w:rsidRPr="0031640D">
        <w:rPr>
          <w:rFonts w:ascii="Arial" w:hAnsi="Arial" w:cs="Arial"/>
          <w:b/>
          <w:color w:val="1C283D"/>
        </w:rPr>
        <w:t>İfade almanın esasları</w:t>
      </w:r>
    </w:p>
    <w:p w:rsidR="0031640D" w:rsidRDefault="0031640D" w:rsidP="0031640D">
      <w:pPr>
        <w:pStyle w:val="GvdeMetniGirintisi"/>
        <w:spacing w:before="0" w:beforeAutospacing="0" w:after="0" w:afterAutospacing="0" w:line="240" w:lineRule="exact"/>
        <w:ind w:firstLine="709"/>
        <w:jc w:val="both"/>
        <w:rPr>
          <w:rFonts w:ascii="Arial" w:hAnsi="Arial" w:cs="Arial"/>
          <w:b/>
          <w:color w:val="1C283D"/>
        </w:rPr>
      </w:pPr>
    </w:p>
    <w:p w:rsidR="0031640D" w:rsidRPr="0031640D" w:rsidRDefault="0031640D" w:rsidP="0031640D">
      <w:pPr>
        <w:pStyle w:val="GvdeMetniGirintisi"/>
        <w:spacing w:before="0" w:beforeAutospacing="0" w:after="0" w:afterAutospacing="0" w:line="240" w:lineRule="exact"/>
        <w:ind w:firstLine="709"/>
        <w:jc w:val="both"/>
        <w:rPr>
          <w:rFonts w:ascii="Arial" w:hAnsi="Arial" w:cs="Arial"/>
          <w:color w:val="1C283D"/>
        </w:rPr>
      </w:pPr>
      <w:r w:rsidRPr="0031640D">
        <w:rPr>
          <w:rFonts w:ascii="Arial" w:hAnsi="Arial" w:cs="Arial"/>
          <w:b/>
          <w:color w:val="1C283D"/>
        </w:rPr>
        <w:t>Madde 23 –</w:t>
      </w:r>
      <w:r w:rsidRPr="0031640D">
        <w:rPr>
          <w:rFonts w:ascii="Arial" w:hAnsi="Arial" w:cs="Arial"/>
          <w:color w:val="1C283D"/>
        </w:rPr>
        <w:t xml:space="preserve"> Şüphelinin ifadesinin alınmasında aşağıdaki hususlara uyulur:</w:t>
      </w:r>
    </w:p>
    <w:p w:rsidR="0031640D" w:rsidRPr="0031640D" w:rsidRDefault="0031640D" w:rsidP="0031640D">
      <w:pPr>
        <w:pStyle w:val="GvdeMetniGirintisi"/>
        <w:tabs>
          <w:tab w:val="num" w:pos="927"/>
        </w:tabs>
        <w:spacing w:before="0" w:beforeAutospacing="0" w:after="0" w:afterAutospacing="0" w:line="240" w:lineRule="exact"/>
        <w:ind w:firstLine="709"/>
        <w:jc w:val="both"/>
        <w:rPr>
          <w:rFonts w:ascii="Arial" w:hAnsi="Arial" w:cs="Arial"/>
          <w:color w:val="1C283D"/>
        </w:rPr>
      </w:pPr>
      <w:r w:rsidRPr="0031640D">
        <w:rPr>
          <w:rFonts w:ascii="Arial" w:hAnsi="Arial" w:cs="Arial"/>
          <w:b/>
          <w:color w:val="1C283D"/>
        </w:rPr>
        <w:t>a)</w:t>
      </w:r>
      <w:r w:rsidRPr="0031640D">
        <w:rPr>
          <w:rFonts w:ascii="Arial" w:hAnsi="Arial" w:cs="Arial"/>
          <w:color w:val="1C283D"/>
        </w:rPr>
        <w:t xml:space="preserve">  Şüphelinin kimliği saptanır. Şüpheli, kimliğine ilişkin soruları doğru olarak cevaplandırmakla yükümlüdür. </w:t>
      </w:r>
    </w:p>
    <w:p w:rsidR="0031640D" w:rsidRPr="0031640D" w:rsidRDefault="0031640D" w:rsidP="0031640D">
      <w:pPr>
        <w:pStyle w:val="GvdeMetniGirintisi"/>
        <w:tabs>
          <w:tab w:val="num" w:pos="927"/>
        </w:tabs>
        <w:spacing w:before="0" w:beforeAutospacing="0" w:after="0" w:afterAutospacing="0" w:line="240" w:lineRule="exact"/>
        <w:ind w:firstLine="709"/>
        <w:jc w:val="both"/>
        <w:rPr>
          <w:rFonts w:ascii="Arial" w:hAnsi="Arial" w:cs="Arial"/>
          <w:color w:val="1C283D"/>
        </w:rPr>
      </w:pPr>
      <w:r w:rsidRPr="0031640D">
        <w:rPr>
          <w:rFonts w:ascii="Arial" w:hAnsi="Arial" w:cs="Arial"/>
          <w:b/>
          <w:color w:val="1C283D"/>
        </w:rPr>
        <w:t>b)</w:t>
      </w:r>
      <w:r w:rsidRPr="0031640D">
        <w:rPr>
          <w:rFonts w:ascii="Arial" w:hAnsi="Arial" w:cs="Arial"/>
          <w:color w:val="1C283D"/>
        </w:rPr>
        <w:t>  Kendisine yüklenen suç anlatılır.</w:t>
      </w:r>
    </w:p>
    <w:p w:rsidR="0031640D" w:rsidRPr="0031640D" w:rsidRDefault="0031640D" w:rsidP="0031640D">
      <w:pPr>
        <w:pStyle w:val="GvdeMetniGirintisi"/>
        <w:tabs>
          <w:tab w:val="num" w:pos="927"/>
        </w:tabs>
        <w:spacing w:before="0" w:beforeAutospacing="0" w:after="0" w:afterAutospacing="0" w:line="240" w:lineRule="exact"/>
        <w:ind w:firstLine="709"/>
        <w:jc w:val="both"/>
        <w:rPr>
          <w:rFonts w:ascii="Arial" w:hAnsi="Arial" w:cs="Arial"/>
          <w:color w:val="1C283D"/>
        </w:rPr>
      </w:pPr>
      <w:r w:rsidRPr="0031640D">
        <w:rPr>
          <w:rFonts w:ascii="Arial" w:hAnsi="Arial" w:cs="Arial"/>
          <w:b/>
          <w:color w:val="1C283D"/>
        </w:rPr>
        <w:t>c)</w:t>
      </w:r>
      <w:r w:rsidRPr="0031640D">
        <w:rPr>
          <w:rFonts w:ascii="Arial" w:hAnsi="Arial" w:cs="Arial"/>
          <w:color w:val="1C283D"/>
        </w:rPr>
        <w:t xml:space="preserve">  Müdafi seçme hakkının bulunduğu ve onun hukukî yardımından yararlanabileceği, </w:t>
      </w:r>
      <w:proofErr w:type="spellStart"/>
      <w:r w:rsidRPr="0031640D">
        <w:rPr>
          <w:rFonts w:ascii="Arial" w:hAnsi="Arial" w:cs="Arial"/>
          <w:color w:val="1C283D"/>
        </w:rPr>
        <w:t>müdafiîn</w:t>
      </w:r>
      <w:proofErr w:type="spellEnd"/>
      <w:r w:rsidRPr="0031640D">
        <w:rPr>
          <w:rFonts w:ascii="Arial" w:hAnsi="Arial" w:cs="Arial"/>
          <w:color w:val="1C283D"/>
        </w:rPr>
        <w:t xml:space="preserve"> ifade sırasında hazır bulunabileceği kendisine bildirilir. Müdafi seçecek durumda olmadığı ve bir müdafi yardımından faydalanmak istediği takdirde, kendisine baro tarafından bir müdafi görevlendirilir.</w:t>
      </w:r>
    </w:p>
    <w:p w:rsidR="0031640D" w:rsidRPr="0031640D" w:rsidRDefault="0031640D" w:rsidP="0031640D">
      <w:pPr>
        <w:pStyle w:val="GvdeMetniGirintisi"/>
        <w:tabs>
          <w:tab w:val="num" w:pos="927"/>
        </w:tabs>
        <w:spacing w:before="0" w:beforeAutospacing="0" w:after="0" w:afterAutospacing="0" w:line="240" w:lineRule="exact"/>
        <w:ind w:firstLine="709"/>
        <w:jc w:val="both"/>
        <w:rPr>
          <w:rFonts w:ascii="Arial" w:hAnsi="Arial" w:cs="Arial"/>
          <w:color w:val="1C283D"/>
        </w:rPr>
      </w:pPr>
      <w:r w:rsidRPr="0031640D">
        <w:rPr>
          <w:rFonts w:ascii="Arial" w:hAnsi="Arial" w:cs="Arial"/>
          <w:b/>
          <w:color w:val="1C283D"/>
        </w:rPr>
        <w:t>d)</w:t>
      </w:r>
      <w:r w:rsidRPr="0031640D">
        <w:rPr>
          <w:rFonts w:ascii="Arial" w:hAnsi="Arial" w:cs="Arial"/>
          <w:color w:val="1C283D"/>
        </w:rPr>
        <w:t xml:space="preserve">   Müdafi sadece hukukî yardımda bulunabilir, şüphelinin ifadesi alınırken şüpheliye sorulan soruya doğrudan cevap veremez, onun yerini aldığı izlenimi veren herhangi bir müdahalede bulunamaz. Hukukî yardım maddî olayı karartabilecek müdahalelerin yapılması anlamına gelmez. Müdafi şüpheliye bütün kanunî haklarını hatırlatabilir ve </w:t>
      </w:r>
      <w:proofErr w:type="spellStart"/>
      <w:r w:rsidRPr="0031640D">
        <w:rPr>
          <w:rFonts w:ascii="Arial" w:hAnsi="Arial" w:cs="Arial"/>
          <w:color w:val="1C283D"/>
        </w:rPr>
        <w:t>müdafiîn</w:t>
      </w:r>
      <w:proofErr w:type="spellEnd"/>
      <w:r w:rsidRPr="0031640D">
        <w:rPr>
          <w:rFonts w:ascii="Arial" w:hAnsi="Arial" w:cs="Arial"/>
          <w:color w:val="1C283D"/>
        </w:rPr>
        <w:t xml:space="preserve"> her türlü müdahalesi tutanağa geçirilir.</w:t>
      </w:r>
    </w:p>
    <w:p w:rsidR="0031640D" w:rsidRPr="0031640D" w:rsidRDefault="0031640D" w:rsidP="0031640D">
      <w:pPr>
        <w:pStyle w:val="GvdeMetniGirintisi"/>
        <w:tabs>
          <w:tab w:val="num" w:pos="927"/>
        </w:tabs>
        <w:spacing w:before="0" w:beforeAutospacing="0" w:after="0" w:afterAutospacing="0" w:line="240" w:lineRule="exact"/>
        <w:ind w:firstLine="709"/>
        <w:jc w:val="both"/>
        <w:rPr>
          <w:rFonts w:ascii="Arial" w:hAnsi="Arial" w:cs="Arial"/>
          <w:color w:val="1C283D"/>
        </w:rPr>
      </w:pPr>
      <w:r w:rsidRPr="0031640D">
        <w:rPr>
          <w:rFonts w:ascii="Arial" w:hAnsi="Arial" w:cs="Arial"/>
          <w:b/>
          <w:color w:val="1C283D"/>
        </w:rPr>
        <w:t>e)</w:t>
      </w:r>
      <w:r w:rsidRPr="0031640D">
        <w:rPr>
          <w:rFonts w:ascii="Arial" w:hAnsi="Arial" w:cs="Arial"/>
          <w:color w:val="1C283D"/>
        </w:rPr>
        <w:t>  5271 sayılı Ceza Muhakemesi Kanununun 95 inci maddesi hükmü saklı kalmak üzere, yakalanan kişinin yakınlarından istediğine yakalandığı derhâl bildirilir.</w:t>
      </w:r>
    </w:p>
    <w:p w:rsidR="0031640D" w:rsidRPr="0031640D" w:rsidRDefault="0031640D" w:rsidP="0031640D">
      <w:pPr>
        <w:pStyle w:val="GvdeMetniGirintisi"/>
        <w:tabs>
          <w:tab w:val="num" w:pos="927"/>
        </w:tabs>
        <w:spacing w:before="0" w:beforeAutospacing="0" w:after="0" w:afterAutospacing="0" w:line="240" w:lineRule="exact"/>
        <w:ind w:firstLine="709"/>
        <w:jc w:val="both"/>
        <w:rPr>
          <w:rFonts w:ascii="Arial" w:hAnsi="Arial" w:cs="Arial"/>
          <w:color w:val="1C283D"/>
        </w:rPr>
      </w:pPr>
      <w:r w:rsidRPr="0031640D">
        <w:rPr>
          <w:rFonts w:ascii="Arial" w:hAnsi="Arial" w:cs="Arial"/>
          <w:b/>
          <w:color w:val="1C283D"/>
        </w:rPr>
        <w:t>f)</w:t>
      </w:r>
      <w:r w:rsidRPr="0031640D">
        <w:rPr>
          <w:rFonts w:ascii="Arial" w:hAnsi="Arial" w:cs="Arial"/>
          <w:color w:val="1C283D"/>
        </w:rPr>
        <w:t xml:space="preserve">  Yüklenen suç hakkında açıklamada bulunmamasının kanunî hakkı olduğu söylenir. </w:t>
      </w:r>
    </w:p>
    <w:p w:rsidR="0031640D" w:rsidRPr="0031640D" w:rsidRDefault="0031640D" w:rsidP="0031640D">
      <w:pPr>
        <w:pStyle w:val="GvdeMetniGirintisi"/>
        <w:tabs>
          <w:tab w:val="num" w:pos="927"/>
        </w:tabs>
        <w:spacing w:before="0" w:beforeAutospacing="0" w:after="0" w:afterAutospacing="0" w:line="240" w:lineRule="exact"/>
        <w:ind w:firstLine="709"/>
        <w:jc w:val="both"/>
        <w:rPr>
          <w:rFonts w:ascii="Arial" w:hAnsi="Arial" w:cs="Arial"/>
          <w:color w:val="1C283D"/>
        </w:rPr>
      </w:pPr>
      <w:r w:rsidRPr="0031640D">
        <w:rPr>
          <w:rFonts w:ascii="Arial" w:hAnsi="Arial" w:cs="Arial"/>
          <w:b/>
          <w:color w:val="1C283D"/>
        </w:rPr>
        <w:t>g)</w:t>
      </w:r>
      <w:r w:rsidRPr="0031640D">
        <w:rPr>
          <w:rFonts w:ascii="Arial" w:hAnsi="Arial" w:cs="Arial"/>
          <w:color w:val="1C283D"/>
        </w:rPr>
        <w:t>  Şüpheden kurtulması için somut delillerin toplanmasını isteyebileceği hatırlatılır ve kendisi aleyhine var olan şüphe nedenlerini ortadan kaldırmak ve lehine olan hususları ileri sürmek imkânı tanınır.</w:t>
      </w:r>
    </w:p>
    <w:p w:rsidR="0031640D" w:rsidRPr="0031640D" w:rsidRDefault="0031640D" w:rsidP="0031640D">
      <w:pPr>
        <w:pStyle w:val="GvdeMetniGirintisi"/>
        <w:tabs>
          <w:tab w:val="num" w:pos="927"/>
        </w:tabs>
        <w:spacing w:before="0" w:beforeAutospacing="0" w:after="0" w:afterAutospacing="0" w:line="240" w:lineRule="exact"/>
        <w:ind w:firstLine="709"/>
        <w:jc w:val="both"/>
        <w:rPr>
          <w:rFonts w:ascii="Arial" w:hAnsi="Arial" w:cs="Arial"/>
          <w:color w:val="1C283D"/>
        </w:rPr>
      </w:pPr>
      <w:r w:rsidRPr="0031640D">
        <w:rPr>
          <w:rFonts w:ascii="Arial" w:hAnsi="Arial" w:cs="Arial"/>
          <w:b/>
          <w:color w:val="1C283D"/>
        </w:rPr>
        <w:t>h)</w:t>
      </w:r>
      <w:r w:rsidRPr="0031640D">
        <w:rPr>
          <w:rFonts w:ascii="Arial" w:hAnsi="Arial" w:cs="Arial"/>
          <w:color w:val="1C283D"/>
        </w:rPr>
        <w:t>   İfade verenin kişisel ve ekonomik durumu hakkında bilgi alınır.</w:t>
      </w:r>
    </w:p>
    <w:p w:rsidR="0031640D" w:rsidRPr="0031640D" w:rsidRDefault="0031640D" w:rsidP="0031640D">
      <w:pPr>
        <w:pStyle w:val="GvdeMetniGirintisi"/>
        <w:tabs>
          <w:tab w:val="num" w:pos="927"/>
        </w:tabs>
        <w:spacing w:before="0" w:beforeAutospacing="0" w:after="0" w:afterAutospacing="0" w:line="240" w:lineRule="exact"/>
        <w:ind w:firstLine="709"/>
        <w:jc w:val="both"/>
        <w:rPr>
          <w:rFonts w:ascii="Arial" w:hAnsi="Arial" w:cs="Arial"/>
          <w:color w:val="1C283D"/>
        </w:rPr>
      </w:pPr>
      <w:r w:rsidRPr="0031640D">
        <w:rPr>
          <w:rFonts w:ascii="Arial" w:hAnsi="Arial" w:cs="Arial"/>
          <w:b/>
          <w:color w:val="1C283D"/>
        </w:rPr>
        <w:t>i)</w:t>
      </w:r>
      <w:r w:rsidRPr="0031640D">
        <w:rPr>
          <w:rFonts w:ascii="Arial" w:hAnsi="Arial" w:cs="Arial"/>
          <w:color w:val="1C283D"/>
        </w:rPr>
        <w:t>   İfade işlemlerinin kaydında, teknik imkânlardan yararlanılabilir.</w:t>
      </w:r>
    </w:p>
    <w:p w:rsidR="0031640D" w:rsidRPr="0031640D" w:rsidRDefault="0031640D" w:rsidP="0031640D">
      <w:pPr>
        <w:pStyle w:val="GvdeMetniGirintisi"/>
        <w:tabs>
          <w:tab w:val="num" w:pos="927"/>
        </w:tabs>
        <w:spacing w:before="0" w:beforeAutospacing="0" w:after="0" w:afterAutospacing="0" w:line="240" w:lineRule="exact"/>
        <w:ind w:firstLine="709"/>
        <w:jc w:val="both"/>
        <w:rPr>
          <w:rFonts w:ascii="Arial" w:hAnsi="Arial" w:cs="Arial"/>
          <w:color w:val="1C283D"/>
        </w:rPr>
      </w:pPr>
      <w:r w:rsidRPr="0031640D">
        <w:rPr>
          <w:rFonts w:ascii="Arial" w:hAnsi="Arial" w:cs="Arial"/>
          <w:b/>
          <w:color w:val="1C283D"/>
        </w:rPr>
        <w:t>j)</w:t>
      </w:r>
      <w:r w:rsidRPr="0031640D">
        <w:rPr>
          <w:rFonts w:ascii="Arial" w:hAnsi="Arial" w:cs="Arial"/>
          <w:color w:val="1C283D"/>
        </w:rPr>
        <w:t>   İfade bir tutanağa bağlanır. Bu tutanakta şunlar yer alır:</w:t>
      </w:r>
    </w:p>
    <w:p w:rsidR="0031640D" w:rsidRDefault="0031640D" w:rsidP="0031640D">
      <w:pPr>
        <w:pStyle w:val="GvdeMetniGirintisi"/>
        <w:tabs>
          <w:tab w:val="num" w:pos="927"/>
        </w:tabs>
        <w:spacing w:before="0" w:beforeAutospacing="0" w:after="0" w:afterAutospacing="0" w:line="240" w:lineRule="exact"/>
        <w:ind w:firstLine="709"/>
        <w:jc w:val="both"/>
        <w:rPr>
          <w:rFonts w:ascii="Arial" w:hAnsi="Arial" w:cs="Arial"/>
          <w:b/>
          <w:color w:val="1C283D"/>
        </w:rPr>
      </w:pPr>
    </w:p>
    <w:p w:rsidR="0031640D" w:rsidRPr="0031640D" w:rsidRDefault="0031640D" w:rsidP="0031640D">
      <w:pPr>
        <w:pStyle w:val="GvdeMetniGirintisi"/>
        <w:tabs>
          <w:tab w:val="num" w:pos="927"/>
        </w:tabs>
        <w:spacing w:before="0" w:beforeAutospacing="0" w:after="0" w:afterAutospacing="0" w:line="240" w:lineRule="exact"/>
        <w:ind w:firstLine="709"/>
        <w:jc w:val="both"/>
        <w:rPr>
          <w:rFonts w:ascii="Arial" w:hAnsi="Arial" w:cs="Arial"/>
          <w:color w:val="1C283D"/>
        </w:rPr>
      </w:pPr>
      <w:r w:rsidRPr="0031640D">
        <w:rPr>
          <w:rFonts w:ascii="Arial" w:hAnsi="Arial" w:cs="Arial"/>
          <w:b/>
          <w:color w:val="1C283D"/>
        </w:rPr>
        <w:t>1)</w:t>
      </w:r>
      <w:r w:rsidRPr="0031640D">
        <w:rPr>
          <w:rFonts w:ascii="Arial" w:hAnsi="Arial" w:cs="Arial"/>
          <w:color w:val="1C283D"/>
        </w:rPr>
        <w:t xml:space="preserve"> İfade alma işleminin yapıldığı yer ve tarih,</w:t>
      </w:r>
    </w:p>
    <w:p w:rsidR="0031640D" w:rsidRPr="0031640D" w:rsidRDefault="0031640D" w:rsidP="0031640D">
      <w:pPr>
        <w:pStyle w:val="GvdeMetniGirintisi"/>
        <w:tabs>
          <w:tab w:val="num" w:pos="927"/>
        </w:tabs>
        <w:spacing w:before="0" w:beforeAutospacing="0" w:after="0" w:afterAutospacing="0" w:line="240" w:lineRule="exact"/>
        <w:ind w:firstLine="709"/>
        <w:jc w:val="both"/>
        <w:rPr>
          <w:rFonts w:ascii="Arial" w:hAnsi="Arial" w:cs="Arial"/>
          <w:color w:val="1C283D"/>
        </w:rPr>
      </w:pPr>
      <w:r w:rsidRPr="0031640D">
        <w:rPr>
          <w:rFonts w:ascii="Arial" w:hAnsi="Arial" w:cs="Arial"/>
          <w:b/>
          <w:color w:val="1C283D"/>
        </w:rPr>
        <w:t>2)</w:t>
      </w:r>
      <w:r w:rsidRPr="0031640D">
        <w:rPr>
          <w:rFonts w:ascii="Arial" w:hAnsi="Arial" w:cs="Arial"/>
          <w:color w:val="1C283D"/>
        </w:rPr>
        <w:t>   İfade alma sırasında hazır bulunan kişilerin isim ve sıfatları ile ifade veren kişinin açık kimliği,</w:t>
      </w:r>
    </w:p>
    <w:p w:rsidR="0031640D" w:rsidRPr="0031640D" w:rsidRDefault="0031640D" w:rsidP="0031640D">
      <w:pPr>
        <w:pStyle w:val="GvdeMetniGirintisi"/>
        <w:tabs>
          <w:tab w:val="num" w:pos="927"/>
        </w:tabs>
        <w:spacing w:before="0" w:beforeAutospacing="0" w:after="0" w:afterAutospacing="0" w:line="240" w:lineRule="exact"/>
        <w:ind w:firstLine="709"/>
        <w:jc w:val="both"/>
        <w:rPr>
          <w:rFonts w:ascii="Arial" w:hAnsi="Arial" w:cs="Arial"/>
          <w:color w:val="1C283D"/>
        </w:rPr>
      </w:pPr>
      <w:r w:rsidRPr="0031640D">
        <w:rPr>
          <w:rFonts w:ascii="Arial" w:hAnsi="Arial" w:cs="Arial"/>
          <w:b/>
          <w:color w:val="1C283D"/>
        </w:rPr>
        <w:t>3)</w:t>
      </w:r>
      <w:r w:rsidRPr="0031640D">
        <w:rPr>
          <w:rFonts w:ascii="Arial" w:hAnsi="Arial" w:cs="Arial"/>
          <w:color w:val="1C283D"/>
        </w:rPr>
        <w:t>   İfade alma sırasında, yukarıdaki işlemlerin yerine getirilip getirilmediği, bu işlemler yerine getirilmemiş ise nedenleri,</w:t>
      </w:r>
    </w:p>
    <w:p w:rsidR="0031640D" w:rsidRPr="0031640D" w:rsidRDefault="0031640D" w:rsidP="0031640D">
      <w:pPr>
        <w:pStyle w:val="GvdeMetniGirintisi"/>
        <w:tabs>
          <w:tab w:val="num" w:pos="927"/>
        </w:tabs>
        <w:spacing w:before="0" w:beforeAutospacing="0" w:after="0" w:afterAutospacing="0" w:line="240" w:lineRule="exact"/>
        <w:ind w:firstLine="709"/>
        <w:jc w:val="both"/>
        <w:rPr>
          <w:rFonts w:ascii="Arial" w:hAnsi="Arial" w:cs="Arial"/>
          <w:color w:val="1C283D"/>
        </w:rPr>
      </w:pPr>
      <w:r w:rsidRPr="0031640D">
        <w:rPr>
          <w:rFonts w:ascii="Arial" w:hAnsi="Arial" w:cs="Arial"/>
          <w:b/>
          <w:color w:val="1C283D"/>
        </w:rPr>
        <w:t>4)</w:t>
      </w:r>
      <w:r w:rsidRPr="0031640D">
        <w:rPr>
          <w:rFonts w:ascii="Arial" w:hAnsi="Arial" w:cs="Arial"/>
          <w:color w:val="1C283D"/>
        </w:rPr>
        <w:t xml:space="preserve"> Tutanak içeriğinin ifade veren ile hazır olan müdafi tarafından okunduğu ve imzaları,</w:t>
      </w:r>
    </w:p>
    <w:p w:rsidR="0031640D" w:rsidRPr="0031640D" w:rsidRDefault="0031640D" w:rsidP="0031640D">
      <w:pPr>
        <w:pStyle w:val="GvdeMetniGirintisi"/>
        <w:tabs>
          <w:tab w:val="num" w:pos="927"/>
        </w:tabs>
        <w:spacing w:before="0" w:beforeAutospacing="0" w:after="0" w:afterAutospacing="0" w:line="240" w:lineRule="exact"/>
        <w:ind w:firstLine="709"/>
        <w:jc w:val="both"/>
        <w:rPr>
          <w:rFonts w:ascii="Arial" w:hAnsi="Arial" w:cs="Arial"/>
          <w:color w:val="1C283D"/>
        </w:rPr>
      </w:pPr>
      <w:r w:rsidRPr="0031640D">
        <w:rPr>
          <w:rFonts w:ascii="Arial" w:hAnsi="Arial" w:cs="Arial"/>
          <w:b/>
          <w:color w:val="1C283D"/>
        </w:rPr>
        <w:t>5)</w:t>
      </w:r>
      <w:r w:rsidRPr="0031640D">
        <w:rPr>
          <w:rFonts w:ascii="Arial" w:hAnsi="Arial" w:cs="Arial"/>
          <w:color w:val="1C283D"/>
        </w:rPr>
        <w:t>   İmzadan çekinme hâlinde bunun nedenleri.</w:t>
      </w:r>
    </w:p>
    <w:p w:rsidR="0031640D" w:rsidRPr="0031640D" w:rsidRDefault="0031640D" w:rsidP="0031640D">
      <w:pPr>
        <w:pStyle w:val="GvdeMetniGirintisi"/>
        <w:spacing w:before="0" w:beforeAutospacing="0" w:after="0" w:afterAutospacing="0" w:line="240" w:lineRule="exact"/>
        <w:ind w:firstLine="709"/>
        <w:jc w:val="both"/>
        <w:rPr>
          <w:rFonts w:ascii="Arial" w:hAnsi="Arial" w:cs="Arial"/>
          <w:color w:val="1C283D"/>
        </w:rPr>
      </w:pPr>
      <w:r w:rsidRPr="0031640D">
        <w:rPr>
          <w:rFonts w:ascii="Arial" w:hAnsi="Arial" w:cs="Arial"/>
          <w:color w:val="1C283D"/>
        </w:rPr>
        <w:t>İfade esasları bu Yönetmeliğe ekli İfade Tutanağı (EK-D) formatına uygun olarak yerine getirilir.</w:t>
      </w:r>
    </w:p>
    <w:p w:rsidR="0031640D" w:rsidRDefault="0031640D" w:rsidP="0031640D">
      <w:pPr>
        <w:pStyle w:val="GvdeMetniGirintisi"/>
        <w:spacing w:before="0" w:beforeAutospacing="0" w:after="0" w:afterAutospacing="0" w:line="240" w:lineRule="exact"/>
        <w:ind w:firstLine="709"/>
        <w:jc w:val="both"/>
        <w:rPr>
          <w:rFonts w:ascii="Arial" w:hAnsi="Arial" w:cs="Arial"/>
          <w:b/>
          <w:color w:val="1C283D"/>
        </w:rPr>
      </w:pPr>
    </w:p>
    <w:p w:rsidR="0031640D" w:rsidRPr="0031640D" w:rsidRDefault="0031640D" w:rsidP="0031640D">
      <w:pPr>
        <w:pStyle w:val="GvdeMetniGirintisi"/>
        <w:spacing w:before="0" w:beforeAutospacing="0" w:after="0" w:afterAutospacing="0" w:line="240" w:lineRule="exact"/>
        <w:ind w:firstLine="709"/>
        <w:jc w:val="both"/>
        <w:rPr>
          <w:rFonts w:ascii="Arial" w:hAnsi="Arial" w:cs="Arial"/>
          <w:b/>
          <w:color w:val="1C283D"/>
        </w:rPr>
      </w:pPr>
      <w:r w:rsidRPr="0031640D">
        <w:rPr>
          <w:rFonts w:ascii="Arial" w:hAnsi="Arial" w:cs="Arial"/>
          <w:b/>
          <w:color w:val="1C283D"/>
        </w:rPr>
        <w:t>İfade almada yasak yöntemler</w:t>
      </w:r>
    </w:p>
    <w:p w:rsidR="0031640D" w:rsidRDefault="0031640D" w:rsidP="0031640D">
      <w:pPr>
        <w:pStyle w:val="GvdeMetniGirintisi"/>
        <w:spacing w:before="0" w:beforeAutospacing="0" w:after="0" w:afterAutospacing="0" w:line="240" w:lineRule="exact"/>
        <w:ind w:firstLine="709"/>
        <w:jc w:val="both"/>
        <w:rPr>
          <w:rFonts w:ascii="Arial" w:hAnsi="Arial" w:cs="Arial"/>
          <w:b/>
          <w:color w:val="1C283D"/>
        </w:rPr>
      </w:pPr>
    </w:p>
    <w:p w:rsidR="0031640D" w:rsidRPr="0031640D" w:rsidRDefault="0031640D" w:rsidP="0031640D">
      <w:pPr>
        <w:pStyle w:val="GvdeMetniGirintisi"/>
        <w:spacing w:before="0" w:beforeAutospacing="0" w:after="0" w:afterAutospacing="0" w:line="240" w:lineRule="exact"/>
        <w:ind w:firstLine="709"/>
        <w:jc w:val="both"/>
        <w:rPr>
          <w:rFonts w:ascii="Arial" w:hAnsi="Arial" w:cs="Arial"/>
          <w:color w:val="1C283D"/>
        </w:rPr>
      </w:pPr>
      <w:r w:rsidRPr="0031640D">
        <w:rPr>
          <w:rFonts w:ascii="Arial" w:hAnsi="Arial" w:cs="Arial"/>
          <w:b/>
          <w:color w:val="1C283D"/>
        </w:rPr>
        <w:t>Madde 24 –</w:t>
      </w:r>
      <w:r w:rsidRPr="0031640D">
        <w:rPr>
          <w:rFonts w:ascii="Arial" w:hAnsi="Arial" w:cs="Arial"/>
          <w:color w:val="1C283D"/>
        </w:rPr>
        <w:t xml:space="preserve"> İfade veren şüphelinin beyanı, özgür iradesine dayanmalıdır. Bunu engelleyici nitelikte kötü davranma, işkence, ilâç verme, yorma, aldatma, cebir veya tehditte bulunma, bazı araçları kullanma gibi bedensel veya ruhsal müdahaleler yapılamaz.</w:t>
      </w:r>
    </w:p>
    <w:p w:rsidR="0031640D" w:rsidRPr="0031640D" w:rsidRDefault="0031640D" w:rsidP="0031640D">
      <w:pPr>
        <w:pStyle w:val="GvdeMetniGirintisi"/>
        <w:spacing w:before="0" w:beforeAutospacing="0" w:after="0" w:afterAutospacing="0" w:line="240" w:lineRule="exact"/>
        <w:ind w:firstLine="709"/>
        <w:jc w:val="both"/>
        <w:rPr>
          <w:rFonts w:ascii="Arial" w:hAnsi="Arial" w:cs="Arial"/>
          <w:color w:val="1C283D"/>
        </w:rPr>
      </w:pPr>
      <w:r w:rsidRPr="0031640D">
        <w:rPr>
          <w:rFonts w:ascii="Arial" w:hAnsi="Arial" w:cs="Arial"/>
          <w:color w:val="1C283D"/>
        </w:rPr>
        <w:t>Kanuna aykırı bir yarar vaat edilemez.</w:t>
      </w:r>
    </w:p>
    <w:p w:rsidR="0031640D" w:rsidRPr="0031640D" w:rsidRDefault="0031640D" w:rsidP="0031640D">
      <w:pPr>
        <w:pStyle w:val="GvdeMetniGirintisi"/>
        <w:spacing w:before="0" w:beforeAutospacing="0" w:after="0" w:afterAutospacing="0" w:line="240" w:lineRule="exact"/>
        <w:ind w:firstLine="709"/>
        <w:jc w:val="both"/>
        <w:rPr>
          <w:rFonts w:ascii="Arial" w:hAnsi="Arial" w:cs="Arial"/>
          <w:color w:val="1C283D"/>
        </w:rPr>
      </w:pPr>
      <w:r w:rsidRPr="0031640D">
        <w:rPr>
          <w:rFonts w:ascii="Arial" w:hAnsi="Arial" w:cs="Arial"/>
          <w:color w:val="1C283D"/>
        </w:rPr>
        <w:t>Yasak usullerle elde edilen ifadeler rıza ile verilmiş olsa da delil olarak değerlendirilemez.</w:t>
      </w:r>
    </w:p>
    <w:p w:rsidR="0031640D" w:rsidRPr="0031640D" w:rsidRDefault="0031640D" w:rsidP="0031640D">
      <w:pPr>
        <w:pStyle w:val="GvdeMetniGirintisi"/>
        <w:spacing w:before="0" w:beforeAutospacing="0" w:after="0" w:afterAutospacing="0" w:line="240" w:lineRule="exact"/>
        <w:ind w:firstLine="709"/>
        <w:jc w:val="both"/>
        <w:rPr>
          <w:rFonts w:ascii="Arial" w:hAnsi="Arial" w:cs="Arial"/>
          <w:color w:val="1C283D"/>
        </w:rPr>
      </w:pPr>
      <w:r w:rsidRPr="0031640D">
        <w:rPr>
          <w:rFonts w:ascii="Arial" w:hAnsi="Arial" w:cs="Arial"/>
          <w:color w:val="1C283D"/>
        </w:rPr>
        <w:t>Şüphelinin aynı olayla ilgili olarak yeniden ifadesinin alınması ihtiyacı ortaya çıktığında, bu işlem ancak Cumhuriyet savcısı tarafından yapılabilir.</w:t>
      </w:r>
    </w:p>
    <w:p w:rsidR="0031640D" w:rsidRDefault="0031640D" w:rsidP="0031640D">
      <w:pPr>
        <w:pStyle w:val="GvdeMetniGirintisi"/>
        <w:spacing w:before="0" w:beforeAutospacing="0" w:after="0" w:afterAutospacing="0" w:line="240" w:lineRule="exact"/>
        <w:ind w:firstLine="709"/>
        <w:jc w:val="both"/>
        <w:rPr>
          <w:rFonts w:ascii="Arial" w:hAnsi="Arial" w:cs="Arial"/>
          <w:color w:val="1C283D"/>
        </w:rPr>
      </w:pPr>
      <w:r w:rsidRPr="0031640D">
        <w:rPr>
          <w:rFonts w:ascii="Arial" w:hAnsi="Arial" w:cs="Arial"/>
          <w:color w:val="1C283D"/>
        </w:rPr>
        <w:t>Hiç kimse, kendisini veya kanunda gösterilen yakınlarını suçlayan bir beyanda bulunmaya veya bu yolda delil göstermeye zorlanamaz.</w:t>
      </w:r>
    </w:p>
    <w:p w:rsidR="0039177D" w:rsidRPr="0039177D" w:rsidRDefault="0039177D" w:rsidP="0031640D">
      <w:pPr>
        <w:pStyle w:val="GvdeMetniGirintisi"/>
        <w:spacing w:before="0" w:beforeAutospacing="0" w:after="0" w:afterAutospacing="0" w:line="240" w:lineRule="exact"/>
        <w:ind w:firstLine="709"/>
        <w:jc w:val="both"/>
        <w:rPr>
          <w:rFonts w:ascii="Arial" w:hAnsi="Arial" w:cs="Arial"/>
          <w:b/>
          <w:color w:val="1C283D"/>
        </w:rPr>
      </w:pPr>
    </w:p>
    <w:p w:rsidR="0039177D" w:rsidRDefault="0039177D" w:rsidP="0031640D">
      <w:pPr>
        <w:pStyle w:val="GvdeMetniGirintisi"/>
        <w:spacing w:before="0" w:beforeAutospacing="0" w:after="0" w:afterAutospacing="0" w:line="240" w:lineRule="exact"/>
        <w:ind w:firstLine="709"/>
        <w:jc w:val="both"/>
        <w:rPr>
          <w:rFonts w:ascii="Arial" w:hAnsi="Arial" w:cs="Arial"/>
          <w:b/>
          <w:color w:val="1C283D"/>
        </w:rPr>
      </w:pPr>
      <w:r w:rsidRPr="0039177D">
        <w:rPr>
          <w:rFonts w:ascii="Arial" w:hAnsi="Arial" w:cs="Arial"/>
          <w:b/>
          <w:color w:val="1C283D"/>
        </w:rPr>
        <w:t xml:space="preserve">(5271 Sayılı CEZA MUHAKEMESİ </w:t>
      </w:r>
      <w:proofErr w:type="spellStart"/>
      <w:r w:rsidRPr="0039177D">
        <w:rPr>
          <w:rFonts w:ascii="Arial" w:hAnsi="Arial" w:cs="Arial"/>
          <w:b/>
          <w:color w:val="1C283D"/>
        </w:rPr>
        <w:t>KANUNU’nun</w:t>
      </w:r>
      <w:proofErr w:type="spellEnd"/>
      <w:r w:rsidRPr="0039177D">
        <w:rPr>
          <w:rFonts w:ascii="Arial" w:hAnsi="Arial" w:cs="Arial"/>
          <w:b/>
          <w:color w:val="1C283D"/>
        </w:rPr>
        <w:t xml:space="preserve"> 147. Ve 148. Maddeleri de aynı hükümleri içermektedir.)</w:t>
      </w:r>
    </w:p>
    <w:p w:rsidR="0039177D" w:rsidRDefault="0039177D" w:rsidP="0031640D">
      <w:pPr>
        <w:pStyle w:val="GvdeMetniGirintisi"/>
        <w:spacing w:before="0" w:beforeAutospacing="0" w:after="0" w:afterAutospacing="0" w:line="240" w:lineRule="exact"/>
        <w:ind w:firstLine="709"/>
        <w:jc w:val="both"/>
        <w:rPr>
          <w:rFonts w:ascii="Arial" w:hAnsi="Arial" w:cs="Arial"/>
          <w:b/>
          <w:color w:val="1C283D"/>
        </w:rPr>
      </w:pPr>
    </w:p>
    <w:p w:rsidR="0039177D" w:rsidRDefault="0039177D" w:rsidP="0031640D">
      <w:pPr>
        <w:pStyle w:val="GvdeMetniGirintisi"/>
        <w:spacing w:before="0" w:beforeAutospacing="0" w:after="0" w:afterAutospacing="0" w:line="240" w:lineRule="exact"/>
        <w:ind w:firstLine="709"/>
        <w:jc w:val="both"/>
        <w:rPr>
          <w:rFonts w:ascii="Arial" w:hAnsi="Arial" w:cs="Arial"/>
          <w:b/>
          <w:color w:val="1C283D"/>
        </w:rPr>
      </w:pPr>
    </w:p>
    <w:p w:rsidR="0039177D" w:rsidRPr="0039177D" w:rsidRDefault="0039177D" w:rsidP="0039177D">
      <w:pPr>
        <w:ind w:firstLine="360"/>
        <w:rPr>
          <w:rFonts w:ascii="Arial" w:hAnsi="Arial" w:cs="Arial"/>
          <w:b/>
          <w:color w:val="000000"/>
        </w:rPr>
      </w:pPr>
      <w:r w:rsidRPr="0039177D">
        <w:rPr>
          <w:rFonts w:ascii="Arial" w:hAnsi="Arial" w:cs="Arial"/>
          <w:b/>
          <w:color w:val="000000"/>
        </w:rPr>
        <w:t>5271 SAYILI CEZA MUHAKEMESİ KANUNU</w:t>
      </w:r>
    </w:p>
    <w:p w:rsidR="0039177D" w:rsidRPr="0039177D" w:rsidRDefault="0039177D" w:rsidP="0039177D">
      <w:pPr>
        <w:ind w:left="80" w:firstLine="280"/>
        <w:rPr>
          <w:rFonts w:ascii="Arial" w:hAnsi="Arial" w:cs="Arial"/>
          <w:b/>
          <w:bCs/>
        </w:rPr>
      </w:pPr>
    </w:p>
    <w:p w:rsidR="0039177D" w:rsidRPr="0039177D" w:rsidRDefault="0039177D" w:rsidP="0039177D">
      <w:pPr>
        <w:ind w:left="80" w:firstLine="280"/>
        <w:rPr>
          <w:rFonts w:ascii="Arial" w:hAnsi="Arial" w:cs="Arial"/>
        </w:rPr>
      </w:pPr>
      <w:r w:rsidRPr="0039177D">
        <w:rPr>
          <w:rFonts w:ascii="Arial" w:hAnsi="Arial" w:cs="Arial"/>
          <w:b/>
          <w:bCs/>
        </w:rPr>
        <w:t xml:space="preserve">BİLİRKİŞİ OLARAK ATANABİLECEKLER </w:t>
      </w:r>
      <w:r w:rsidRPr="0039177D">
        <w:rPr>
          <w:rFonts w:ascii="Arial" w:hAnsi="Arial" w:cs="Arial"/>
        </w:rPr>
        <w:t xml:space="preserve"> </w:t>
      </w:r>
    </w:p>
    <w:p w:rsidR="0039177D" w:rsidRPr="0039177D" w:rsidRDefault="0039177D" w:rsidP="0039177D">
      <w:pPr>
        <w:ind w:left="80" w:firstLine="280"/>
        <w:rPr>
          <w:rFonts w:ascii="Arial" w:hAnsi="Arial" w:cs="Arial"/>
        </w:rPr>
      </w:pPr>
      <w:r w:rsidRPr="0039177D">
        <w:rPr>
          <w:rFonts w:ascii="Arial" w:hAnsi="Arial" w:cs="Arial"/>
        </w:rPr>
        <w:t xml:space="preserve"> </w:t>
      </w:r>
    </w:p>
    <w:p w:rsidR="0039177D" w:rsidRPr="0039177D" w:rsidRDefault="0039177D" w:rsidP="0039177D">
      <w:pPr>
        <w:ind w:left="80" w:firstLine="280"/>
        <w:jc w:val="both"/>
        <w:rPr>
          <w:rFonts w:ascii="Arial" w:hAnsi="Arial" w:cs="Arial"/>
        </w:rPr>
      </w:pPr>
      <w:r w:rsidRPr="0039177D">
        <w:rPr>
          <w:rFonts w:ascii="Arial" w:hAnsi="Arial" w:cs="Arial"/>
          <w:b/>
          <w:bCs/>
        </w:rPr>
        <w:t xml:space="preserve">Madde 64 - </w:t>
      </w:r>
      <w:r w:rsidRPr="0039177D">
        <w:rPr>
          <w:rFonts w:ascii="Arial" w:hAnsi="Arial" w:cs="Arial"/>
        </w:rPr>
        <w:t xml:space="preserve"> </w:t>
      </w:r>
      <w:r w:rsidRPr="0039177D">
        <w:rPr>
          <w:rFonts w:ascii="Arial" w:hAnsi="Arial" w:cs="Arial"/>
          <w:b/>
        </w:rPr>
        <w:t>(1)</w:t>
      </w:r>
      <w:r w:rsidRPr="0039177D">
        <w:rPr>
          <w:rFonts w:ascii="Arial" w:hAnsi="Arial" w:cs="Arial"/>
        </w:rPr>
        <w:t xml:space="preserve"> Bilirkişiler, il adlî yargı adalet komisyonları tarafından her yıl düzenlenen bir listede yer alan gerçek veya tüzel kişiler arasından seçilirler. Cumhuriyet savcıları ve hâkimler, yalnız bulundukları il bakımından yapılmış listelerden değil, diğer illerde oluşturulmuş listelerden de bilirkişi seçebilirler. Bu listelerin düzenlenmesine veya listelerde yer verilenlerin çıkarılmalarına ilişkin esas ve usuller, yönetmelikte gösterilir.</w:t>
      </w:r>
    </w:p>
    <w:p w:rsidR="0039177D" w:rsidRPr="0039177D" w:rsidRDefault="0039177D" w:rsidP="0039177D">
      <w:pPr>
        <w:ind w:left="80" w:firstLine="280"/>
        <w:jc w:val="both"/>
        <w:rPr>
          <w:rFonts w:ascii="Arial" w:hAnsi="Arial" w:cs="Arial"/>
        </w:rPr>
      </w:pPr>
    </w:p>
    <w:p w:rsidR="0039177D" w:rsidRPr="0039177D" w:rsidRDefault="0039177D" w:rsidP="0039177D">
      <w:pPr>
        <w:ind w:left="80" w:firstLine="280"/>
        <w:jc w:val="both"/>
        <w:rPr>
          <w:rFonts w:ascii="Arial" w:hAnsi="Arial" w:cs="Arial"/>
        </w:rPr>
      </w:pPr>
      <w:r w:rsidRPr="0039177D">
        <w:rPr>
          <w:rFonts w:ascii="Arial" w:hAnsi="Arial" w:cs="Arial"/>
          <w:b/>
        </w:rPr>
        <w:t>(2)</w:t>
      </w:r>
      <w:r w:rsidRPr="0039177D">
        <w:rPr>
          <w:rFonts w:ascii="Arial" w:hAnsi="Arial" w:cs="Arial"/>
        </w:rPr>
        <w:t xml:space="preserve"> Atama kararında, gerekçesi de gösterilmek suretiyle, birinci fıkrada belirtilen listelere girmeyenler arasından da bilirkişi seçilebilir.</w:t>
      </w:r>
    </w:p>
    <w:p w:rsidR="0039177D" w:rsidRPr="0039177D" w:rsidRDefault="0039177D" w:rsidP="0039177D">
      <w:pPr>
        <w:ind w:left="80" w:firstLine="280"/>
        <w:jc w:val="both"/>
        <w:rPr>
          <w:rFonts w:ascii="Arial" w:hAnsi="Arial" w:cs="Arial"/>
        </w:rPr>
      </w:pPr>
    </w:p>
    <w:p w:rsidR="0039177D" w:rsidRPr="0039177D" w:rsidRDefault="0039177D" w:rsidP="0039177D">
      <w:pPr>
        <w:ind w:firstLine="360"/>
        <w:rPr>
          <w:rFonts w:ascii="Arial" w:hAnsi="Arial" w:cs="Arial"/>
        </w:rPr>
      </w:pPr>
      <w:r w:rsidRPr="0039177D">
        <w:rPr>
          <w:rFonts w:ascii="Arial" w:hAnsi="Arial" w:cs="Arial"/>
          <w:b/>
        </w:rPr>
        <w:t>(3)</w:t>
      </w:r>
      <w:r w:rsidRPr="0039177D">
        <w:rPr>
          <w:rFonts w:ascii="Arial" w:hAnsi="Arial" w:cs="Arial"/>
        </w:rPr>
        <w:t xml:space="preserve"> Kanunların belirli konularda görevlendirdiği resmî bilirkişiler </w:t>
      </w:r>
      <w:r w:rsidRPr="0039177D">
        <w:rPr>
          <w:rFonts w:ascii="Arial" w:hAnsi="Arial" w:cs="Arial"/>
          <w:b/>
        </w:rPr>
        <w:t>öncelikle atanırlar.</w:t>
      </w:r>
      <w:r w:rsidRPr="0039177D">
        <w:rPr>
          <w:rFonts w:ascii="Arial" w:hAnsi="Arial" w:cs="Arial"/>
        </w:rPr>
        <w:t xml:space="preserve"> Ancak kamu görevlileri, bağlı bulundukları kurumla ilgili davalarda bilirkişi olarak atanamazlar.</w:t>
      </w:r>
    </w:p>
    <w:p w:rsidR="0039177D" w:rsidRPr="0039177D" w:rsidRDefault="0039177D" w:rsidP="0039177D">
      <w:pPr>
        <w:ind w:firstLine="360"/>
        <w:rPr>
          <w:rFonts w:ascii="Arial" w:hAnsi="Arial" w:cs="Arial"/>
          <w:b/>
        </w:rPr>
      </w:pPr>
    </w:p>
    <w:p w:rsidR="0039177D" w:rsidRPr="0039177D" w:rsidRDefault="0039177D" w:rsidP="0039177D">
      <w:pPr>
        <w:ind w:firstLine="360"/>
        <w:rPr>
          <w:rFonts w:ascii="Arial" w:hAnsi="Arial" w:cs="Arial"/>
          <w:b/>
        </w:rPr>
      </w:pPr>
      <w:r w:rsidRPr="0039177D">
        <w:rPr>
          <w:rFonts w:ascii="Arial" w:hAnsi="Arial" w:cs="Arial"/>
          <w:b/>
        </w:rPr>
        <w:t>(1. Fıkrada sayılan bilirkişilere yemin verdirilmez, 2. Fıkradakilere yeminleri yaptırılır.)</w:t>
      </w:r>
    </w:p>
    <w:p w:rsidR="00F0612C" w:rsidRDefault="00F0612C"/>
    <w:sectPr w:rsidR="00F0612C" w:rsidSect="00F0612C">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5FA" w:rsidRDefault="00AC15FA" w:rsidP="00505DA7">
      <w:r>
        <w:separator/>
      </w:r>
    </w:p>
  </w:endnote>
  <w:endnote w:type="continuationSeparator" w:id="0">
    <w:p w:rsidR="00AC15FA" w:rsidRDefault="00AC15FA" w:rsidP="00505D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8257"/>
      <w:docPartObj>
        <w:docPartGallery w:val="Page Numbers (Bottom of Page)"/>
        <w:docPartUnique/>
      </w:docPartObj>
    </w:sdtPr>
    <w:sdtContent>
      <w:p w:rsidR="00505DA7" w:rsidRDefault="008D53A3">
        <w:pPr>
          <w:pStyle w:val="Altbilgi"/>
        </w:pPr>
        <w:fldSimple w:instr=" PAGE   \* MERGEFORMAT ">
          <w:r w:rsidR="008A12EC">
            <w:rPr>
              <w:noProof/>
            </w:rPr>
            <w:t>1</w:t>
          </w:r>
        </w:fldSimple>
      </w:p>
    </w:sdtContent>
  </w:sdt>
  <w:p w:rsidR="00505DA7" w:rsidRDefault="00505DA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5FA" w:rsidRDefault="00AC15FA" w:rsidP="00505DA7">
      <w:r>
        <w:separator/>
      </w:r>
    </w:p>
  </w:footnote>
  <w:footnote w:type="continuationSeparator" w:id="0">
    <w:p w:rsidR="00AC15FA" w:rsidRDefault="00AC15FA" w:rsidP="00505D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23F19"/>
    <w:rsid w:val="0031640D"/>
    <w:rsid w:val="00323F19"/>
    <w:rsid w:val="0039177D"/>
    <w:rsid w:val="00505DA7"/>
    <w:rsid w:val="00737258"/>
    <w:rsid w:val="00805105"/>
    <w:rsid w:val="008A12EC"/>
    <w:rsid w:val="008D53A3"/>
    <w:rsid w:val="00AC15FA"/>
    <w:rsid w:val="00E94204"/>
    <w:rsid w:val="00F061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F19"/>
    <w:pPr>
      <w:spacing w:before="0" w:beforeAutospacing="0" w:after="0" w:afterAutospacing="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semiHidden/>
    <w:unhideWhenUsed/>
    <w:rsid w:val="00323F19"/>
    <w:pPr>
      <w:spacing w:before="100" w:beforeAutospacing="1" w:after="100" w:afterAutospacing="1"/>
    </w:pPr>
  </w:style>
  <w:style w:type="character" w:customStyle="1" w:styleId="GvdeMetniGirintisiChar">
    <w:name w:val="Gövde Metni Girintisi Char"/>
    <w:basedOn w:val="VarsaylanParagrafYazTipi"/>
    <w:link w:val="GvdeMetniGirintisi"/>
    <w:uiPriority w:val="99"/>
    <w:semiHidden/>
    <w:rsid w:val="00323F19"/>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505DA7"/>
    <w:pPr>
      <w:tabs>
        <w:tab w:val="center" w:pos="4536"/>
        <w:tab w:val="right" w:pos="9072"/>
      </w:tabs>
    </w:pPr>
  </w:style>
  <w:style w:type="character" w:customStyle="1" w:styleId="stbilgiChar">
    <w:name w:val="Üstbilgi Char"/>
    <w:basedOn w:val="VarsaylanParagrafYazTipi"/>
    <w:link w:val="stbilgi"/>
    <w:uiPriority w:val="99"/>
    <w:semiHidden/>
    <w:rsid w:val="00505DA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05DA7"/>
    <w:pPr>
      <w:tabs>
        <w:tab w:val="center" w:pos="4536"/>
        <w:tab w:val="right" w:pos="9072"/>
      </w:tabs>
    </w:pPr>
  </w:style>
  <w:style w:type="character" w:customStyle="1" w:styleId="AltbilgiChar">
    <w:name w:val="Altbilgi Char"/>
    <w:basedOn w:val="VarsaylanParagrafYazTipi"/>
    <w:link w:val="Altbilgi"/>
    <w:uiPriority w:val="99"/>
    <w:rsid w:val="00505DA7"/>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37703427">
      <w:bodyDiv w:val="1"/>
      <w:marLeft w:val="0"/>
      <w:marRight w:val="0"/>
      <w:marTop w:val="0"/>
      <w:marBottom w:val="0"/>
      <w:divBdr>
        <w:top w:val="none" w:sz="0" w:space="0" w:color="auto"/>
        <w:left w:val="none" w:sz="0" w:space="0" w:color="auto"/>
        <w:bottom w:val="none" w:sz="0" w:space="0" w:color="auto"/>
        <w:right w:val="none" w:sz="0" w:space="0" w:color="auto"/>
      </w:divBdr>
      <w:divsChild>
        <w:div w:id="115031699">
          <w:marLeft w:val="0"/>
          <w:marRight w:val="0"/>
          <w:marTop w:val="100"/>
          <w:marBottom w:val="100"/>
          <w:divBdr>
            <w:top w:val="none" w:sz="0" w:space="0" w:color="auto"/>
            <w:left w:val="none" w:sz="0" w:space="0" w:color="auto"/>
            <w:bottom w:val="none" w:sz="0" w:space="0" w:color="auto"/>
            <w:right w:val="none" w:sz="0" w:space="0" w:color="auto"/>
          </w:divBdr>
          <w:divsChild>
            <w:div w:id="137113864">
              <w:marLeft w:val="0"/>
              <w:marRight w:val="0"/>
              <w:marTop w:val="0"/>
              <w:marBottom w:val="0"/>
              <w:divBdr>
                <w:top w:val="none" w:sz="0" w:space="0" w:color="auto"/>
                <w:left w:val="none" w:sz="0" w:space="0" w:color="auto"/>
                <w:bottom w:val="none" w:sz="0" w:space="0" w:color="auto"/>
                <w:right w:val="none" w:sz="0" w:space="0" w:color="auto"/>
              </w:divBdr>
              <w:divsChild>
                <w:div w:id="1193227798">
                  <w:marLeft w:val="0"/>
                  <w:marRight w:val="0"/>
                  <w:marTop w:val="0"/>
                  <w:marBottom w:val="0"/>
                  <w:divBdr>
                    <w:top w:val="none" w:sz="0" w:space="0" w:color="auto"/>
                    <w:left w:val="none" w:sz="0" w:space="0" w:color="auto"/>
                    <w:bottom w:val="none" w:sz="0" w:space="0" w:color="auto"/>
                    <w:right w:val="none" w:sz="0" w:space="0" w:color="auto"/>
                  </w:divBdr>
                  <w:divsChild>
                    <w:div w:id="1399935397">
                      <w:marLeft w:val="0"/>
                      <w:marRight w:val="0"/>
                      <w:marTop w:val="0"/>
                      <w:marBottom w:val="0"/>
                      <w:divBdr>
                        <w:top w:val="none" w:sz="0" w:space="0" w:color="auto"/>
                        <w:left w:val="none" w:sz="0" w:space="0" w:color="auto"/>
                        <w:bottom w:val="none" w:sz="0" w:space="0" w:color="auto"/>
                        <w:right w:val="none" w:sz="0" w:space="0" w:color="auto"/>
                      </w:divBdr>
                      <w:divsChild>
                        <w:div w:id="9432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6098">
      <w:bodyDiv w:val="1"/>
      <w:marLeft w:val="0"/>
      <w:marRight w:val="0"/>
      <w:marTop w:val="0"/>
      <w:marBottom w:val="0"/>
      <w:divBdr>
        <w:top w:val="none" w:sz="0" w:space="0" w:color="auto"/>
        <w:left w:val="none" w:sz="0" w:space="0" w:color="auto"/>
        <w:bottom w:val="none" w:sz="0" w:space="0" w:color="auto"/>
        <w:right w:val="none" w:sz="0" w:space="0" w:color="auto"/>
      </w:divBdr>
      <w:divsChild>
        <w:div w:id="81605657">
          <w:marLeft w:val="0"/>
          <w:marRight w:val="0"/>
          <w:marTop w:val="100"/>
          <w:marBottom w:val="100"/>
          <w:divBdr>
            <w:top w:val="none" w:sz="0" w:space="0" w:color="auto"/>
            <w:left w:val="none" w:sz="0" w:space="0" w:color="auto"/>
            <w:bottom w:val="none" w:sz="0" w:space="0" w:color="auto"/>
            <w:right w:val="none" w:sz="0" w:space="0" w:color="auto"/>
          </w:divBdr>
          <w:divsChild>
            <w:div w:id="1383792907">
              <w:marLeft w:val="0"/>
              <w:marRight w:val="0"/>
              <w:marTop w:val="0"/>
              <w:marBottom w:val="0"/>
              <w:divBdr>
                <w:top w:val="none" w:sz="0" w:space="0" w:color="auto"/>
                <w:left w:val="none" w:sz="0" w:space="0" w:color="auto"/>
                <w:bottom w:val="none" w:sz="0" w:space="0" w:color="auto"/>
                <w:right w:val="none" w:sz="0" w:space="0" w:color="auto"/>
              </w:divBdr>
              <w:divsChild>
                <w:div w:id="1536121257">
                  <w:marLeft w:val="0"/>
                  <w:marRight w:val="0"/>
                  <w:marTop w:val="0"/>
                  <w:marBottom w:val="0"/>
                  <w:divBdr>
                    <w:top w:val="none" w:sz="0" w:space="0" w:color="auto"/>
                    <w:left w:val="none" w:sz="0" w:space="0" w:color="auto"/>
                    <w:bottom w:val="none" w:sz="0" w:space="0" w:color="auto"/>
                    <w:right w:val="none" w:sz="0" w:space="0" w:color="auto"/>
                  </w:divBdr>
                  <w:divsChild>
                    <w:div w:id="1544516552">
                      <w:marLeft w:val="0"/>
                      <w:marRight w:val="0"/>
                      <w:marTop w:val="0"/>
                      <w:marBottom w:val="0"/>
                      <w:divBdr>
                        <w:top w:val="none" w:sz="0" w:space="0" w:color="auto"/>
                        <w:left w:val="none" w:sz="0" w:space="0" w:color="auto"/>
                        <w:bottom w:val="none" w:sz="0" w:space="0" w:color="auto"/>
                        <w:right w:val="none" w:sz="0" w:space="0" w:color="auto"/>
                      </w:divBdr>
                      <w:divsChild>
                        <w:div w:id="1273904898">
                          <w:marLeft w:val="0"/>
                          <w:marRight w:val="0"/>
                          <w:marTop w:val="0"/>
                          <w:marBottom w:val="0"/>
                          <w:divBdr>
                            <w:top w:val="none" w:sz="0" w:space="0" w:color="auto"/>
                            <w:left w:val="none" w:sz="0" w:space="0" w:color="auto"/>
                            <w:bottom w:val="none" w:sz="0" w:space="0" w:color="auto"/>
                            <w:right w:val="none" w:sz="0" w:space="0" w:color="auto"/>
                          </w:divBdr>
                          <w:divsChild>
                            <w:div w:id="1434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vlyrd</dc:creator>
  <cp:keywords/>
  <dc:description/>
  <cp:lastModifiedBy>vlyrd</cp:lastModifiedBy>
  <cp:revision>7</cp:revision>
  <dcterms:created xsi:type="dcterms:W3CDTF">2013-01-15T20:03:00Z</dcterms:created>
  <dcterms:modified xsi:type="dcterms:W3CDTF">2013-01-24T10:57:00Z</dcterms:modified>
</cp:coreProperties>
</file>